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BF603" w14:textId="77777777" w:rsidR="005C1D04" w:rsidRDefault="005C1D04">
      <w:pPr>
        <w:pStyle w:val="BodyText"/>
        <w:spacing w:before="6"/>
        <w:rPr>
          <w:sz w:val="20"/>
        </w:rPr>
      </w:pPr>
    </w:p>
    <w:p w14:paraId="5799A3BC" w14:textId="76266658" w:rsidR="005C1D04" w:rsidRDefault="00722E57">
      <w:pPr>
        <w:pStyle w:val="Heading1"/>
        <w:spacing w:before="90"/>
        <w:ind w:left="3653" w:right="3333"/>
        <w:jc w:val="center"/>
      </w:pPr>
      <w:r>
        <w:t xml:space="preserve"> </w:t>
      </w:r>
      <w:r w:rsidR="0089715A">
        <w:t>Method LA</w:t>
      </w:r>
      <w:r w:rsidR="00CA58CD">
        <w:t xml:space="preserve"> Charter School</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1F5731CA"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Method LA</w:t>
      </w:r>
      <w:r w:rsidR="00CA58CD">
        <w:t xml:space="preserve"> Charter School</w:t>
      </w:r>
    </w:p>
    <w:p w14:paraId="4B15E427" w14:textId="087A31A0"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r w:rsidRPr="00282B8B">
        <w:t>the</w:t>
      </w:r>
      <w:r w:rsidRPr="00893221">
        <w:rPr>
          <w:u w:val="single"/>
        </w:rPr>
        <w:t xml:space="preserve"> </w:t>
      </w:r>
      <w:r w:rsidR="0089715A">
        <w:t xml:space="preserve"> Method </w:t>
      </w:r>
      <w:proofErr w:type="spellStart"/>
      <w:r w:rsidR="0089715A">
        <w:t>LA</w:t>
      </w:r>
      <w:r w:rsidR="00CA58CD">
        <w:t>Charter</w:t>
      </w:r>
      <w:proofErr w:type="spellEnd"/>
      <w:r w:rsidR="00CA58CD">
        <w:t xml:space="preserve"> School</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32584B2B" w:rsidR="005C1D04" w:rsidRDefault="00426B18">
      <w:pPr>
        <w:pStyle w:val="BodyText"/>
        <w:tabs>
          <w:tab w:val="left" w:pos="1079"/>
          <w:tab w:val="left" w:pos="2879"/>
          <w:tab w:val="left" w:pos="7079"/>
        </w:tabs>
        <w:spacing w:before="231"/>
        <w:ind w:right="175"/>
        <w:jc w:val="center"/>
      </w:pPr>
      <w:r>
        <w:br w:type="column"/>
      </w:r>
      <w:r w:rsidR="00961E43">
        <w:rPr>
          <w:u w:val="single"/>
        </w:rPr>
        <w:t>June 8</w:t>
      </w:r>
      <w:r w:rsidR="00961E43" w:rsidRPr="00961E43">
        <w:rPr>
          <w:u w:val="single"/>
          <w:vertAlign w:val="superscript"/>
        </w:rPr>
        <w:t>th</w:t>
      </w:r>
      <w:r w:rsidR="00961E43">
        <w:rPr>
          <w:u w:val="single"/>
        </w:rPr>
        <w:t xml:space="preserve"> </w:t>
      </w:r>
      <w:r>
        <w:t>20</w:t>
      </w:r>
      <w:r w:rsidR="00961E43">
        <w:t>21</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74473F9A" w:rsidR="00505ACD" w:rsidRDefault="0089715A">
      <w:pPr>
        <w:spacing w:before="75" w:line="302" w:lineRule="auto"/>
        <w:ind w:left="155" w:right="3694"/>
        <w:rPr>
          <w:rFonts w:ascii="Arial"/>
          <w:b/>
          <w:sz w:val="20"/>
        </w:rPr>
      </w:pPr>
      <w:r>
        <w:rPr>
          <w:rFonts w:ascii="Arial"/>
          <w:b/>
          <w:sz w:val="20"/>
        </w:rPr>
        <w:lastRenderedPageBreak/>
        <w:t>Method LA</w:t>
      </w:r>
      <w:r w:rsidR="00CA58CD">
        <w:rPr>
          <w:rFonts w:ascii="Arial"/>
          <w:b/>
          <w:sz w:val="20"/>
        </w:rPr>
        <w:t xml:space="preserve"> Charter School</w:t>
      </w:r>
    </w:p>
    <w:p w14:paraId="21282574" w14:textId="5F3FF146" w:rsidR="005C1D04" w:rsidRDefault="00426B18">
      <w:pPr>
        <w:spacing w:before="75" w:line="302" w:lineRule="auto"/>
        <w:ind w:left="155" w:right="3694"/>
        <w:rPr>
          <w:rFonts w:ascii="Arial"/>
          <w:b/>
          <w:sz w:val="20"/>
        </w:rPr>
      </w:pPr>
      <w:r>
        <w:rPr>
          <w:rFonts w:ascii="Arial"/>
          <w:b/>
          <w:sz w:val="20"/>
        </w:rPr>
        <w:t>Expenditures through: June 30, 20</w:t>
      </w:r>
      <w:r w:rsidR="00FC5CD9">
        <w:rPr>
          <w:rFonts w:ascii="Arial"/>
          <w:b/>
          <w:sz w:val="20"/>
        </w:rPr>
        <w:t>2</w:t>
      </w:r>
      <w:r w:rsidR="008E032C">
        <w:rPr>
          <w:rFonts w:ascii="Arial"/>
          <w:b/>
          <w:sz w:val="20"/>
        </w:rPr>
        <w:t>2</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075BCA68" w:rsidR="005C1D04" w:rsidRDefault="00961E43">
            <w:pPr>
              <w:pStyle w:val="TableParagraph"/>
              <w:spacing w:line="210" w:lineRule="exact"/>
              <w:ind w:right="-15"/>
              <w:jc w:val="right"/>
              <w:rPr>
                <w:sz w:val="20"/>
              </w:rPr>
            </w:pPr>
            <w:r>
              <w:rPr>
                <w:w w:val="95"/>
                <w:sz w:val="20"/>
              </w:rPr>
              <w:t>127</w:t>
            </w:r>
            <w:r w:rsidR="00CA58CD">
              <w:rPr>
                <w:w w:val="95"/>
                <w:sz w:val="20"/>
              </w:rPr>
              <w:t>,</w:t>
            </w:r>
            <w:r w:rsidR="00FC5CD9">
              <w:rPr>
                <w:w w:val="95"/>
                <w:sz w:val="20"/>
              </w:rPr>
              <w:t>8</w:t>
            </w:r>
            <w:r>
              <w:rPr>
                <w:w w:val="95"/>
                <w:sz w:val="20"/>
              </w:rPr>
              <w:t>46</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7CAEA26D" w:rsidR="005C1D04" w:rsidRDefault="00961E43">
            <w:pPr>
              <w:pStyle w:val="TableParagraph"/>
              <w:spacing w:line="219" w:lineRule="exact"/>
              <w:ind w:right="-15"/>
              <w:jc w:val="right"/>
              <w:rPr>
                <w:sz w:val="20"/>
              </w:rPr>
            </w:pPr>
            <w:r>
              <w:rPr>
                <w:w w:val="95"/>
                <w:sz w:val="20"/>
              </w:rPr>
              <w:t>127,846</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14773918" w:rsidR="005C1D04" w:rsidRDefault="00961E43">
            <w:pPr>
              <w:pStyle w:val="TableParagraph"/>
              <w:spacing w:line="210" w:lineRule="exact"/>
              <w:ind w:right="-15"/>
              <w:jc w:val="right"/>
              <w:rPr>
                <w:sz w:val="20"/>
              </w:rPr>
            </w:pPr>
            <w:r>
              <w:rPr>
                <w:w w:val="95"/>
                <w:sz w:val="20"/>
              </w:rPr>
              <w:t>127,846</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0B540230" w:rsidR="005C1D04" w:rsidRDefault="00961E43">
            <w:pPr>
              <w:pStyle w:val="TableParagraph"/>
              <w:spacing w:line="219" w:lineRule="exact"/>
              <w:ind w:right="-15"/>
              <w:jc w:val="right"/>
              <w:rPr>
                <w:sz w:val="20"/>
              </w:rPr>
            </w:pPr>
            <w:r>
              <w:rPr>
                <w:w w:val="95"/>
                <w:sz w:val="20"/>
              </w:rPr>
              <w:t>127,846</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47ECC" w14:textId="77777777" w:rsidR="00B5236E" w:rsidRDefault="00B5236E">
      <w:r>
        <w:separator/>
      </w:r>
    </w:p>
  </w:endnote>
  <w:endnote w:type="continuationSeparator" w:id="0">
    <w:p w14:paraId="05415286" w14:textId="77777777" w:rsidR="00B5236E" w:rsidRDefault="00B5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455E3" w14:textId="77777777" w:rsidR="00B5236E" w:rsidRDefault="00B5236E">
      <w:r>
        <w:separator/>
      </w:r>
    </w:p>
  </w:footnote>
  <w:footnote w:type="continuationSeparator" w:id="0">
    <w:p w14:paraId="05D6AAF6" w14:textId="77777777" w:rsidR="00B5236E" w:rsidRDefault="00B5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26448"/>
    <w:rsid w:val="0021781B"/>
    <w:rsid w:val="00282B8B"/>
    <w:rsid w:val="00426B18"/>
    <w:rsid w:val="00430183"/>
    <w:rsid w:val="0044396F"/>
    <w:rsid w:val="00500B0F"/>
    <w:rsid w:val="00505ACD"/>
    <w:rsid w:val="00517FFE"/>
    <w:rsid w:val="005C1D04"/>
    <w:rsid w:val="006E1CCA"/>
    <w:rsid w:val="00722E57"/>
    <w:rsid w:val="00893221"/>
    <w:rsid w:val="0089715A"/>
    <w:rsid w:val="008E032C"/>
    <w:rsid w:val="00961E43"/>
    <w:rsid w:val="00B5236E"/>
    <w:rsid w:val="00CA58CD"/>
    <w:rsid w:val="00EF642F"/>
    <w:rsid w:val="00F91F5C"/>
    <w:rsid w:val="00F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3</cp:revision>
  <cp:lastPrinted>2019-06-02T01:21:00Z</cp:lastPrinted>
  <dcterms:created xsi:type="dcterms:W3CDTF">2021-06-04T01:41:00Z</dcterms:created>
  <dcterms:modified xsi:type="dcterms:W3CDTF">2021-06-04T01:42:00Z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